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078" w:rsidRDefault="005C0078">
      <w:pPr>
        <w:rPr>
          <w:b/>
          <w:u w:val="single"/>
        </w:rPr>
      </w:pPr>
    </w:p>
    <w:p w:rsidR="005C0078" w:rsidRDefault="005C0078">
      <w:pPr>
        <w:rPr>
          <w:b/>
          <w:u w:val="single"/>
        </w:rPr>
      </w:pPr>
    </w:p>
    <w:p w:rsidR="005C0078" w:rsidRDefault="005C0078">
      <w:pPr>
        <w:rPr>
          <w:b/>
          <w:u w:val="single"/>
        </w:rPr>
      </w:pPr>
    </w:p>
    <w:p w:rsidR="005C0078" w:rsidRDefault="005C0078">
      <w:pPr>
        <w:rPr>
          <w:b/>
          <w:u w:val="single"/>
        </w:rPr>
      </w:pPr>
    </w:p>
    <w:p w:rsidR="005C0078" w:rsidRDefault="005C0078" w:rsidP="005C0078">
      <w:pPr>
        <w:jc w:val="center"/>
        <w:rPr>
          <w:b/>
          <w:sz w:val="48"/>
          <w:u w:val="single"/>
        </w:rPr>
      </w:pPr>
      <w:r w:rsidRPr="005C0078">
        <w:rPr>
          <w:b/>
          <w:sz w:val="48"/>
          <w:u w:val="single"/>
        </w:rPr>
        <w:t>SEWAGE MANAGEMENT PLAN</w:t>
      </w:r>
    </w:p>
    <w:p w:rsidR="005C0078" w:rsidRDefault="005C0078" w:rsidP="005C0078">
      <w:pPr>
        <w:jc w:val="center"/>
        <w:rPr>
          <w:b/>
          <w:sz w:val="48"/>
          <w:u w:val="single"/>
        </w:rPr>
      </w:pPr>
      <w:r>
        <w:rPr>
          <w:b/>
          <w:sz w:val="48"/>
          <w:u w:val="single"/>
        </w:rPr>
        <w:t>NAVIG8 GALLANTRY</w:t>
      </w:r>
    </w:p>
    <w:p w:rsidR="005C0078" w:rsidRDefault="005C0078" w:rsidP="005C0078">
      <w:pPr>
        <w:jc w:val="center"/>
        <w:rPr>
          <w:b/>
          <w:sz w:val="48"/>
          <w:u w:val="single"/>
        </w:rPr>
      </w:pPr>
      <w:r>
        <w:rPr>
          <w:b/>
          <w:sz w:val="48"/>
          <w:u w:val="single"/>
        </w:rPr>
        <w:t xml:space="preserve">IMO No: </w:t>
      </w:r>
      <w:r w:rsidRPr="005C0078">
        <w:rPr>
          <w:b/>
          <w:sz w:val="48"/>
          <w:u w:val="single"/>
        </w:rPr>
        <w:t>9712876</w:t>
      </w:r>
    </w:p>
    <w:p w:rsidR="005C0078" w:rsidRPr="00333FA7" w:rsidRDefault="005C0078" w:rsidP="005C0078">
      <w:pPr>
        <w:jc w:val="center"/>
        <w:rPr>
          <w:sz w:val="48"/>
          <w:u w:val="single"/>
        </w:rPr>
      </w:pPr>
    </w:p>
    <w:p w:rsidR="005C0078" w:rsidRPr="00333FA7" w:rsidRDefault="005C0078">
      <w:pPr>
        <w:rPr>
          <w:u w:val="single"/>
        </w:rPr>
      </w:pPr>
    </w:p>
    <w:p w:rsidR="00F363DB" w:rsidRPr="00333FA7" w:rsidRDefault="00F363DB" w:rsidP="00F363DB">
      <w:pPr>
        <w:jc w:val="center"/>
        <w:rPr>
          <w:sz w:val="28"/>
        </w:rPr>
      </w:pPr>
      <w:r w:rsidRPr="00333FA7">
        <w:rPr>
          <w:sz w:val="28"/>
        </w:rPr>
        <w:t xml:space="preserve">In accordance with Regulations for the </w:t>
      </w:r>
    </w:p>
    <w:p w:rsidR="00F363DB" w:rsidRPr="00333FA7" w:rsidRDefault="00F363DB" w:rsidP="00F363DB">
      <w:pPr>
        <w:jc w:val="center"/>
        <w:rPr>
          <w:sz w:val="28"/>
        </w:rPr>
      </w:pPr>
      <w:r w:rsidRPr="00333FA7">
        <w:rPr>
          <w:sz w:val="28"/>
        </w:rPr>
        <w:t xml:space="preserve">Prevention of Pollution by </w:t>
      </w:r>
    </w:p>
    <w:p w:rsidR="005C0078" w:rsidRPr="00333FA7" w:rsidRDefault="00F363DB" w:rsidP="00F363DB">
      <w:pPr>
        <w:jc w:val="center"/>
        <w:rPr>
          <w:sz w:val="28"/>
        </w:rPr>
      </w:pPr>
      <w:r w:rsidRPr="00333FA7">
        <w:rPr>
          <w:sz w:val="28"/>
        </w:rPr>
        <w:t xml:space="preserve">Sewage from Ships – </w:t>
      </w:r>
      <w:proofErr w:type="spellStart"/>
      <w:r w:rsidRPr="00333FA7">
        <w:rPr>
          <w:sz w:val="28"/>
        </w:rPr>
        <w:t>Marpol</w:t>
      </w:r>
      <w:proofErr w:type="spellEnd"/>
      <w:r w:rsidRPr="00333FA7">
        <w:rPr>
          <w:sz w:val="28"/>
        </w:rPr>
        <w:t xml:space="preserve"> Annex IV</w:t>
      </w:r>
    </w:p>
    <w:p w:rsidR="005C0078" w:rsidRDefault="005C0078">
      <w:pPr>
        <w:rPr>
          <w:b/>
          <w:u w:val="single"/>
        </w:rPr>
      </w:pPr>
    </w:p>
    <w:p w:rsidR="005C0078" w:rsidRDefault="005C0078">
      <w:pPr>
        <w:rPr>
          <w:b/>
          <w:u w:val="single"/>
        </w:rPr>
      </w:pPr>
    </w:p>
    <w:p w:rsidR="001479B8" w:rsidRDefault="001479B8" w:rsidP="00FC0714">
      <w:pPr>
        <w:rPr>
          <w:b/>
          <w:sz w:val="28"/>
          <w:u w:val="single"/>
        </w:rPr>
      </w:pPr>
      <w:r>
        <w:rPr>
          <w:b/>
          <w:sz w:val="28"/>
          <w:u w:val="single"/>
        </w:rPr>
        <w:lastRenderedPageBreak/>
        <w:t>CONTENTS</w:t>
      </w:r>
    </w:p>
    <w:p w:rsidR="001479B8" w:rsidRDefault="001479B8" w:rsidP="00FC0714">
      <w:pPr>
        <w:rPr>
          <w:sz w:val="28"/>
        </w:rPr>
      </w:pPr>
      <w:r w:rsidRPr="001479B8">
        <w:rPr>
          <w:sz w:val="28"/>
        </w:rPr>
        <w:t xml:space="preserve">1) </w:t>
      </w:r>
      <w:r>
        <w:rPr>
          <w:sz w:val="28"/>
        </w:rPr>
        <w:t>Ship’s Particulars</w:t>
      </w:r>
    </w:p>
    <w:p w:rsidR="00E21EAC" w:rsidRDefault="00E21EAC" w:rsidP="00FC0714">
      <w:pPr>
        <w:rPr>
          <w:sz w:val="28"/>
        </w:rPr>
      </w:pPr>
      <w:r>
        <w:rPr>
          <w:sz w:val="28"/>
        </w:rPr>
        <w:t xml:space="preserve">2) Sewage </w:t>
      </w:r>
      <w:r w:rsidR="00B65956">
        <w:rPr>
          <w:sz w:val="28"/>
        </w:rPr>
        <w:t>Discharge Criteria</w:t>
      </w:r>
    </w:p>
    <w:p w:rsidR="00E21EAC" w:rsidRDefault="00E21EAC" w:rsidP="00FC0714">
      <w:pPr>
        <w:rPr>
          <w:sz w:val="28"/>
        </w:rPr>
      </w:pPr>
      <w:r>
        <w:rPr>
          <w:sz w:val="28"/>
        </w:rPr>
        <w:t xml:space="preserve">3) </w:t>
      </w:r>
      <w:r w:rsidR="00550677">
        <w:rPr>
          <w:sz w:val="28"/>
        </w:rPr>
        <w:t xml:space="preserve">Maximum Sewage Discharge Rate </w:t>
      </w:r>
      <w:r w:rsidR="00550677" w:rsidRPr="00550677">
        <w:rPr>
          <w:sz w:val="28"/>
        </w:rPr>
        <w:t>(Greater than 12 nautical miles)</w:t>
      </w:r>
    </w:p>
    <w:p w:rsidR="00526167" w:rsidRDefault="00526167" w:rsidP="00FC0714">
      <w:pPr>
        <w:rPr>
          <w:sz w:val="28"/>
        </w:rPr>
      </w:pPr>
      <w:r>
        <w:rPr>
          <w:sz w:val="28"/>
        </w:rPr>
        <w:t>4) Sewage Treatment Piping Diagram</w:t>
      </w:r>
    </w:p>
    <w:p w:rsidR="003A725A" w:rsidRDefault="003A725A" w:rsidP="00FC0714">
      <w:pPr>
        <w:rPr>
          <w:sz w:val="28"/>
        </w:rPr>
      </w:pPr>
      <w:r>
        <w:rPr>
          <w:sz w:val="28"/>
        </w:rPr>
        <w:t>5) Sewage Discharge Record Sheet</w:t>
      </w:r>
    </w:p>
    <w:p w:rsidR="00550677" w:rsidRDefault="00550677" w:rsidP="00FC0714">
      <w:pPr>
        <w:rPr>
          <w:sz w:val="28"/>
        </w:rPr>
      </w:pPr>
    </w:p>
    <w:p w:rsidR="00550677" w:rsidRDefault="00550677" w:rsidP="00FC0714">
      <w:pPr>
        <w:rPr>
          <w:sz w:val="28"/>
        </w:rPr>
      </w:pPr>
    </w:p>
    <w:p w:rsidR="00550677" w:rsidRDefault="00550677" w:rsidP="00FC0714">
      <w:pPr>
        <w:rPr>
          <w:sz w:val="28"/>
        </w:rPr>
      </w:pPr>
    </w:p>
    <w:p w:rsidR="00550677" w:rsidRPr="001479B8" w:rsidRDefault="00550677" w:rsidP="00FC0714">
      <w:pPr>
        <w:rPr>
          <w:sz w:val="28"/>
        </w:rPr>
      </w:pPr>
    </w:p>
    <w:p w:rsidR="001479B8" w:rsidRDefault="001479B8" w:rsidP="00FC0714">
      <w:pPr>
        <w:rPr>
          <w:b/>
          <w:sz w:val="28"/>
          <w:u w:val="single"/>
        </w:rPr>
      </w:pPr>
    </w:p>
    <w:p w:rsidR="001479B8" w:rsidRDefault="001479B8" w:rsidP="00FC0714">
      <w:pPr>
        <w:rPr>
          <w:b/>
          <w:sz w:val="28"/>
          <w:u w:val="single"/>
        </w:rPr>
      </w:pPr>
    </w:p>
    <w:p w:rsidR="001479B8" w:rsidRDefault="001479B8" w:rsidP="00FC0714">
      <w:pPr>
        <w:rPr>
          <w:b/>
          <w:sz w:val="28"/>
          <w:u w:val="single"/>
        </w:rPr>
      </w:pPr>
    </w:p>
    <w:p w:rsidR="001479B8" w:rsidRDefault="001479B8" w:rsidP="00FC0714">
      <w:pPr>
        <w:rPr>
          <w:b/>
          <w:sz w:val="28"/>
          <w:u w:val="single"/>
        </w:rPr>
      </w:pPr>
    </w:p>
    <w:p w:rsidR="001479B8" w:rsidRDefault="001479B8" w:rsidP="00FC0714">
      <w:pPr>
        <w:rPr>
          <w:b/>
          <w:sz w:val="28"/>
          <w:u w:val="single"/>
        </w:rPr>
      </w:pPr>
    </w:p>
    <w:p w:rsidR="001479B8" w:rsidRDefault="001479B8" w:rsidP="00FC0714">
      <w:pPr>
        <w:rPr>
          <w:b/>
          <w:sz w:val="28"/>
          <w:u w:val="single"/>
        </w:rPr>
      </w:pPr>
    </w:p>
    <w:p w:rsidR="00583C8C" w:rsidRPr="00583C8C" w:rsidRDefault="003A725A" w:rsidP="00FC0714">
      <w:pPr>
        <w:rPr>
          <w:b/>
          <w:sz w:val="28"/>
          <w:u w:val="single"/>
        </w:rPr>
      </w:pPr>
      <w:r w:rsidRPr="003A725A">
        <w:rPr>
          <w:b/>
          <w:sz w:val="28"/>
        </w:rPr>
        <w:t xml:space="preserve">Section 1) </w:t>
      </w:r>
      <w:r w:rsidRPr="003A725A">
        <w:rPr>
          <w:b/>
          <w:sz w:val="28"/>
        </w:rPr>
        <w:tab/>
      </w:r>
      <w:r w:rsidR="00583C8C" w:rsidRPr="00583C8C">
        <w:rPr>
          <w:b/>
          <w:sz w:val="28"/>
          <w:u w:val="single"/>
        </w:rPr>
        <w:t>SHIP PARTICULARS</w:t>
      </w:r>
    </w:p>
    <w:p w:rsidR="00583C8C" w:rsidRDefault="00583C8C" w:rsidP="00FC0714">
      <w:pPr>
        <w:rPr>
          <w:b/>
        </w:rPr>
      </w:pPr>
    </w:p>
    <w:p w:rsidR="00FC0714" w:rsidRPr="00FC0714" w:rsidRDefault="00FC0714" w:rsidP="00FC0714">
      <w:pPr>
        <w:rPr>
          <w:b/>
        </w:rPr>
      </w:pPr>
      <w:r w:rsidRPr="00FC0714">
        <w:rPr>
          <w:b/>
        </w:rPr>
        <w:t>Ship’s Name:</w:t>
      </w:r>
      <w:r w:rsidRPr="00FC0714">
        <w:rPr>
          <w:b/>
        </w:rPr>
        <w:tab/>
      </w:r>
      <w:r w:rsidRPr="00FC0714">
        <w:rPr>
          <w:b/>
        </w:rPr>
        <w:tab/>
      </w:r>
      <w:r w:rsidRPr="00FC0714">
        <w:rPr>
          <w:b/>
        </w:rPr>
        <w:tab/>
      </w:r>
      <w:r w:rsidRPr="00FC0714">
        <w:rPr>
          <w:b/>
        </w:rPr>
        <w:tab/>
        <w:t xml:space="preserve"> NAVIG8 GALLANTRY</w:t>
      </w:r>
    </w:p>
    <w:p w:rsidR="00FC0714" w:rsidRPr="00FC0714" w:rsidRDefault="00FC0714" w:rsidP="00FC0714">
      <w:pPr>
        <w:rPr>
          <w:b/>
        </w:rPr>
      </w:pPr>
      <w:r w:rsidRPr="00FC0714">
        <w:rPr>
          <w:b/>
        </w:rPr>
        <w:t xml:space="preserve">Flag:  </w:t>
      </w:r>
      <w:r w:rsidRPr="00FC0714">
        <w:rPr>
          <w:b/>
        </w:rPr>
        <w:tab/>
      </w:r>
      <w:r w:rsidRPr="00FC0714">
        <w:rPr>
          <w:b/>
        </w:rPr>
        <w:tab/>
      </w:r>
      <w:r w:rsidRPr="00FC0714">
        <w:rPr>
          <w:b/>
        </w:rPr>
        <w:tab/>
      </w:r>
      <w:r w:rsidRPr="00FC0714">
        <w:rPr>
          <w:b/>
        </w:rPr>
        <w:tab/>
      </w:r>
      <w:r w:rsidRPr="00FC0714">
        <w:rPr>
          <w:b/>
        </w:rPr>
        <w:tab/>
        <w:t>MARSHALL ISLANDS</w:t>
      </w:r>
    </w:p>
    <w:p w:rsidR="00FC0714" w:rsidRPr="00FC0714" w:rsidRDefault="00FC0714" w:rsidP="00FC0714">
      <w:pPr>
        <w:rPr>
          <w:b/>
        </w:rPr>
      </w:pPr>
      <w:r w:rsidRPr="00FC0714">
        <w:rPr>
          <w:b/>
        </w:rPr>
        <w:t xml:space="preserve">Call Sign: </w:t>
      </w:r>
      <w:r w:rsidRPr="00FC0714">
        <w:rPr>
          <w:b/>
        </w:rPr>
        <w:tab/>
      </w:r>
      <w:r w:rsidRPr="00FC0714">
        <w:rPr>
          <w:b/>
        </w:rPr>
        <w:tab/>
      </w:r>
      <w:r w:rsidRPr="00FC0714">
        <w:rPr>
          <w:b/>
        </w:rPr>
        <w:tab/>
      </w:r>
      <w:r w:rsidRPr="00FC0714">
        <w:rPr>
          <w:b/>
        </w:rPr>
        <w:tab/>
        <w:t>V7HH2</w:t>
      </w:r>
    </w:p>
    <w:p w:rsidR="00FC0714" w:rsidRPr="00FC0714" w:rsidRDefault="00FC0714" w:rsidP="00FC0714">
      <w:pPr>
        <w:rPr>
          <w:b/>
        </w:rPr>
      </w:pPr>
      <w:r w:rsidRPr="00FC0714">
        <w:rPr>
          <w:b/>
        </w:rPr>
        <w:t xml:space="preserve">IMO Number: </w:t>
      </w:r>
      <w:r w:rsidRPr="00FC0714">
        <w:rPr>
          <w:b/>
        </w:rPr>
        <w:tab/>
      </w:r>
      <w:r w:rsidRPr="00FC0714">
        <w:rPr>
          <w:b/>
        </w:rPr>
        <w:tab/>
      </w:r>
      <w:r w:rsidRPr="00FC0714">
        <w:rPr>
          <w:b/>
        </w:rPr>
        <w:tab/>
      </w:r>
      <w:r w:rsidRPr="00FC0714">
        <w:rPr>
          <w:b/>
        </w:rPr>
        <w:tab/>
        <w:t>9712876</w:t>
      </w:r>
    </w:p>
    <w:p w:rsidR="00FC0714" w:rsidRPr="00FC0714" w:rsidRDefault="00FC0714" w:rsidP="00FC0714">
      <w:pPr>
        <w:rPr>
          <w:b/>
        </w:rPr>
      </w:pPr>
      <w:r w:rsidRPr="00FC0714">
        <w:rPr>
          <w:b/>
        </w:rPr>
        <w:t xml:space="preserve">Ship Type: </w:t>
      </w:r>
      <w:r w:rsidRPr="00FC0714">
        <w:rPr>
          <w:b/>
        </w:rPr>
        <w:tab/>
      </w:r>
      <w:r w:rsidRPr="00FC0714">
        <w:rPr>
          <w:b/>
        </w:rPr>
        <w:tab/>
      </w:r>
      <w:r w:rsidRPr="00FC0714">
        <w:rPr>
          <w:b/>
        </w:rPr>
        <w:tab/>
      </w:r>
      <w:r w:rsidRPr="00FC0714">
        <w:rPr>
          <w:b/>
        </w:rPr>
        <w:tab/>
        <w:t xml:space="preserve">OIL TANKER </w:t>
      </w:r>
    </w:p>
    <w:p w:rsidR="00FC0714" w:rsidRPr="00FC0714" w:rsidRDefault="00FC0714" w:rsidP="00FC0714">
      <w:pPr>
        <w:rPr>
          <w:b/>
        </w:rPr>
      </w:pPr>
      <w:r>
        <w:rPr>
          <w:b/>
        </w:rPr>
        <w:t>L</w:t>
      </w:r>
      <w:r w:rsidRPr="00FC0714">
        <w:rPr>
          <w:b/>
        </w:rPr>
        <w:t xml:space="preserve">ength Overall: </w:t>
      </w:r>
      <w:r w:rsidRPr="00FC0714">
        <w:rPr>
          <w:b/>
        </w:rPr>
        <w:tab/>
      </w:r>
      <w:r w:rsidRPr="00FC0714">
        <w:rPr>
          <w:b/>
        </w:rPr>
        <w:tab/>
      </w:r>
      <w:r w:rsidRPr="00FC0714">
        <w:rPr>
          <w:b/>
        </w:rPr>
        <w:tab/>
      </w:r>
      <w:r>
        <w:rPr>
          <w:b/>
        </w:rPr>
        <w:tab/>
        <w:t>249.9</w:t>
      </w:r>
      <w:r w:rsidRPr="00FC0714">
        <w:rPr>
          <w:b/>
        </w:rPr>
        <w:t xml:space="preserve"> m</w:t>
      </w:r>
    </w:p>
    <w:p w:rsidR="00FC0714" w:rsidRPr="00FC0714" w:rsidRDefault="00FC0714" w:rsidP="00FC0714">
      <w:pPr>
        <w:rPr>
          <w:b/>
        </w:rPr>
      </w:pPr>
      <w:r w:rsidRPr="00FC0714">
        <w:rPr>
          <w:b/>
        </w:rPr>
        <w:t xml:space="preserve">Moulded Breadth: </w:t>
      </w:r>
      <w:r w:rsidRPr="00FC0714">
        <w:rPr>
          <w:b/>
        </w:rPr>
        <w:tab/>
      </w:r>
      <w:r w:rsidRPr="00FC0714">
        <w:rPr>
          <w:b/>
        </w:rPr>
        <w:tab/>
      </w:r>
      <w:r w:rsidRPr="00FC0714">
        <w:rPr>
          <w:b/>
        </w:rPr>
        <w:tab/>
        <w:t>44.0 m</w:t>
      </w:r>
    </w:p>
    <w:p w:rsidR="00FC0714" w:rsidRPr="00FC0714" w:rsidRDefault="00FC0714" w:rsidP="00FC0714">
      <w:pPr>
        <w:rPr>
          <w:b/>
        </w:rPr>
      </w:pPr>
      <w:r w:rsidRPr="00FC0714">
        <w:rPr>
          <w:b/>
        </w:rPr>
        <w:t xml:space="preserve">Gross Tonnage: </w:t>
      </w:r>
      <w:r w:rsidRPr="00FC0714">
        <w:rPr>
          <w:b/>
        </w:rPr>
        <w:tab/>
      </w:r>
      <w:r w:rsidRPr="00FC0714">
        <w:rPr>
          <w:b/>
        </w:rPr>
        <w:tab/>
      </w:r>
      <w:r w:rsidRPr="00FC0714">
        <w:rPr>
          <w:b/>
        </w:rPr>
        <w:tab/>
        <w:t>63965</w:t>
      </w:r>
    </w:p>
    <w:p w:rsidR="00FC0714" w:rsidRPr="00FC0714" w:rsidRDefault="00FC0714" w:rsidP="00FC0714">
      <w:pPr>
        <w:rPr>
          <w:b/>
        </w:rPr>
      </w:pPr>
      <w:r w:rsidRPr="00FC0714">
        <w:rPr>
          <w:b/>
        </w:rPr>
        <w:t xml:space="preserve">Net Tonnage: </w:t>
      </w:r>
      <w:r w:rsidRPr="00FC0714">
        <w:rPr>
          <w:b/>
        </w:rPr>
        <w:tab/>
      </w:r>
      <w:r w:rsidRPr="00FC0714">
        <w:rPr>
          <w:b/>
        </w:rPr>
        <w:tab/>
      </w:r>
      <w:r w:rsidRPr="00FC0714">
        <w:rPr>
          <w:b/>
        </w:rPr>
        <w:tab/>
      </w:r>
      <w:r w:rsidRPr="00FC0714">
        <w:rPr>
          <w:b/>
        </w:rPr>
        <w:tab/>
        <w:t>32874</w:t>
      </w:r>
    </w:p>
    <w:p w:rsidR="00FC0714" w:rsidRPr="00FC0714" w:rsidRDefault="00FC0714" w:rsidP="00FC0714">
      <w:pPr>
        <w:rPr>
          <w:b/>
        </w:rPr>
      </w:pPr>
      <w:r w:rsidRPr="00FC0714">
        <w:rPr>
          <w:b/>
        </w:rPr>
        <w:t xml:space="preserve">Summer Draft: </w:t>
      </w:r>
      <w:r w:rsidRPr="00FC0714">
        <w:rPr>
          <w:b/>
        </w:rPr>
        <w:tab/>
      </w:r>
      <w:r w:rsidRPr="00FC0714">
        <w:rPr>
          <w:b/>
        </w:rPr>
        <w:tab/>
      </w:r>
      <w:r w:rsidRPr="00FC0714">
        <w:rPr>
          <w:b/>
        </w:rPr>
        <w:tab/>
      </w:r>
      <w:r w:rsidR="00583C8C">
        <w:rPr>
          <w:b/>
        </w:rPr>
        <w:tab/>
      </w:r>
      <w:r w:rsidRPr="00FC0714">
        <w:rPr>
          <w:b/>
        </w:rPr>
        <w:t>14.732 m</w:t>
      </w:r>
    </w:p>
    <w:p w:rsidR="00FC0714" w:rsidRPr="00FC0714" w:rsidRDefault="00FC0714" w:rsidP="00FC0714">
      <w:pPr>
        <w:rPr>
          <w:b/>
        </w:rPr>
      </w:pPr>
      <w:r w:rsidRPr="00FC0714">
        <w:rPr>
          <w:b/>
        </w:rPr>
        <w:t xml:space="preserve">Summer Freeboard: </w:t>
      </w:r>
      <w:r w:rsidRPr="00FC0714">
        <w:rPr>
          <w:b/>
        </w:rPr>
        <w:tab/>
        <w:t xml:space="preserve">             </w:t>
      </w:r>
      <w:r w:rsidR="00583C8C">
        <w:rPr>
          <w:b/>
        </w:rPr>
        <w:tab/>
      </w:r>
      <w:r w:rsidR="00583C8C">
        <w:rPr>
          <w:b/>
        </w:rPr>
        <w:tab/>
      </w:r>
      <w:r w:rsidRPr="00FC0714">
        <w:rPr>
          <w:b/>
        </w:rPr>
        <w:t>6.79 m</w:t>
      </w:r>
    </w:p>
    <w:p w:rsidR="00FC0714" w:rsidRPr="00FC0714" w:rsidRDefault="00FC0714" w:rsidP="00FC0714">
      <w:pPr>
        <w:rPr>
          <w:b/>
        </w:rPr>
      </w:pPr>
      <w:r w:rsidRPr="00FC0714">
        <w:rPr>
          <w:b/>
        </w:rPr>
        <w:t xml:space="preserve">Summer Displacement: </w:t>
      </w:r>
      <w:r w:rsidRPr="00FC0714">
        <w:rPr>
          <w:b/>
        </w:rPr>
        <w:tab/>
      </w:r>
      <w:r w:rsidRPr="00FC0714">
        <w:rPr>
          <w:b/>
        </w:rPr>
        <w:tab/>
        <w:t>131,000 t</w:t>
      </w:r>
    </w:p>
    <w:p w:rsidR="00FC0714" w:rsidRPr="00FC0714" w:rsidRDefault="00FC0714" w:rsidP="00FC0714">
      <w:pPr>
        <w:rPr>
          <w:b/>
        </w:rPr>
      </w:pPr>
      <w:r w:rsidRPr="00FC0714">
        <w:rPr>
          <w:b/>
        </w:rPr>
        <w:t xml:space="preserve"> Summer Deadweight: </w:t>
      </w:r>
      <w:r w:rsidRPr="00FC0714">
        <w:rPr>
          <w:b/>
        </w:rPr>
        <w:tab/>
      </w:r>
      <w:r w:rsidRPr="00FC0714">
        <w:rPr>
          <w:b/>
        </w:rPr>
        <w:tab/>
      </w:r>
      <w:r w:rsidR="00583C8C">
        <w:rPr>
          <w:b/>
        </w:rPr>
        <w:tab/>
      </w:r>
      <w:r w:rsidRPr="00FC0714">
        <w:rPr>
          <w:b/>
        </w:rPr>
        <w:t>109,999 t</w:t>
      </w:r>
    </w:p>
    <w:p w:rsidR="00FC0714" w:rsidRPr="00FC0714" w:rsidRDefault="00FC0714" w:rsidP="00583C8C">
      <w:pPr>
        <w:rPr>
          <w:b/>
        </w:rPr>
      </w:pPr>
      <w:r w:rsidRPr="00FC0714">
        <w:rPr>
          <w:b/>
        </w:rPr>
        <w:t xml:space="preserve"> </w:t>
      </w:r>
    </w:p>
    <w:p w:rsidR="001479B8" w:rsidRDefault="001479B8">
      <w:pPr>
        <w:rPr>
          <w:b/>
          <w:u w:val="single"/>
        </w:rPr>
      </w:pPr>
    </w:p>
    <w:p w:rsidR="001479B8" w:rsidRDefault="001479B8">
      <w:pPr>
        <w:rPr>
          <w:b/>
          <w:u w:val="single"/>
        </w:rPr>
      </w:pPr>
    </w:p>
    <w:p w:rsidR="00BB6FCD" w:rsidRDefault="003A725A">
      <w:pPr>
        <w:rPr>
          <w:b/>
          <w:u w:val="single"/>
        </w:rPr>
      </w:pPr>
      <w:r w:rsidRPr="003A725A">
        <w:rPr>
          <w:b/>
          <w:sz w:val="28"/>
        </w:rPr>
        <w:t xml:space="preserve">Section </w:t>
      </w:r>
      <w:r>
        <w:rPr>
          <w:b/>
          <w:sz w:val="28"/>
        </w:rPr>
        <w:t>2</w:t>
      </w:r>
      <w:r w:rsidRPr="003A725A">
        <w:rPr>
          <w:b/>
          <w:sz w:val="28"/>
        </w:rPr>
        <w:t xml:space="preserve">) </w:t>
      </w:r>
      <w:r w:rsidRPr="003A725A">
        <w:rPr>
          <w:b/>
          <w:sz w:val="28"/>
        </w:rPr>
        <w:tab/>
      </w:r>
      <w:r w:rsidR="00982719" w:rsidRPr="003A725A">
        <w:rPr>
          <w:b/>
          <w:sz w:val="28"/>
          <w:u w:val="single"/>
        </w:rPr>
        <w:t xml:space="preserve">Sewage </w:t>
      </w:r>
      <w:r w:rsidR="00550677" w:rsidRPr="003A725A">
        <w:rPr>
          <w:b/>
          <w:sz w:val="28"/>
          <w:u w:val="single"/>
        </w:rPr>
        <w:t>Discharge Criteria</w:t>
      </w:r>
    </w:p>
    <w:p w:rsidR="00982719" w:rsidRDefault="00982719">
      <w:r>
        <w:t>The discharge of sewage into the sea is prohibited, except when;</w:t>
      </w:r>
    </w:p>
    <w:p w:rsidR="00E21EAC" w:rsidRDefault="005C0078">
      <w:r>
        <w:t xml:space="preserve">The ship is discharging </w:t>
      </w:r>
      <w:proofErr w:type="spellStart"/>
      <w:r>
        <w:t>comminuted</w:t>
      </w:r>
      <w:proofErr w:type="spellEnd"/>
      <w:r w:rsidR="00982719">
        <w:t xml:space="preserve"> and disinfected sewage using a system approved by the Administration at a distance of more than 3 nautical miles from the nearest land</w:t>
      </w:r>
    </w:p>
    <w:p w:rsidR="00E21EAC" w:rsidRDefault="00E21EAC">
      <w:r>
        <w:t>OR</w:t>
      </w:r>
    </w:p>
    <w:p w:rsidR="00982719" w:rsidRDefault="00E21EAC">
      <w:r>
        <w:t>S</w:t>
      </w:r>
      <w:r w:rsidR="00982719">
        <w:t xml:space="preserve">ewage which is </w:t>
      </w:r>
      <w:r>
        <w:t xml:space="preserve">NOT </w:t>
      </w:r>
      <w:proofErr w:type="spellStart"/>
      <w:r>
        <w:t>comminuted</w:t>
      </w:r>
      <w:proofErr w:type="spellEnd"/>
      <w:r w:rsidR="00550677">
        <w:t xml:space="preserve"> or disinfected</w:t>
      </w:r>
      <w:r>
        <w:t>,</w:t>
      </w:r>
      <w:r w:rsidR="00982719">
        <w:t xml:space="preserve"> at a distance of more than 12 nautical miles from the nearest land, provided that in any case, the sewage that has been stored in holding tanks shall not be discharge instantaneously but at a moderate rate when the ship is </w:t>
      </w:r>
      <w:proofErr w:type="spellStart"/>
      <w:r w:rsidR="00982719">
        <w:t>en</w:t>
      </w:r>
      <w:proofErr w:type="spellEnd"/>
      <w:r w:rsidR="00982719">
        <w:t xml:space="preserve"> route and proceeding at not less than 4 knots; the rate of discharge shall be approved by the Administration based upon standards </w:t>
      </w:r>
      <w:r w:rsidR="00550677">
        <w:t xml:space="preserve">developed by the Organization; </w:t>
      </w:r>
    </w:p>
    <w:p w:rsidR="00550677" w:rsidRDefault="00550677">
      <w:r>
        <w:t>OR</w:t>
      </w:r>
    </w:p>
    <w:p w:rsidR="00550677" w:rsidRDefault="00982719">
      <w:r>
        <w:t>The ship has in operation an approved sewage treatment plant which has been certified by the Administration,</w:t>
      </w:r>
    </w:p>
    <w:p w:rsidR="00550677" w:rsidRDefault="00550677">
      <w:r>
        <w:t>AND</w:t>
      </w:r>
    </w:p>
    <w:p w:rsidR="00550677" w:rsidRDefault="00550677">
      <w:r>
        <w:t>Additionally, the effluent shall not produce visible floating solids nor cause discoloration of the surrounding water.</w:t>
      </w:r>
    </w:p>
    <w:p w:rsidR="00982719" w:rsidRDefault="00550677">
      <w:r>
        <w:t>T</w:t>
      </w:r>
      <w:r w:rsidR="00982719">
        <w:t>he above provisions shall not apply to ship operating in the waters under the jurisdiction of a State and visiting ships from other States while they are in these waters and are discharging sewage in accordance with such less stringent requirement as may be imposed by such State.</w:t>
      </w:r>
    </w:p>
    <w:p w:rsidR="00982719" w:rsidRDefault="003A725A">
      <w:pPr>
        <w:rPr>
          <w:b/>
          <w:u w:val="single"/>
        </w:rPr>
      </w:pPr>
      <w:r w:rsidRPr="003A725A">
        <w:rPr>
          <w:b/>
          <w:sz w:val="28"/>
        </w:rPr>
        <w:t xml:space="preserve">Section </w:t>
      </w:r>
      <w:r>
        <w:rPr>
          <w:b/>
          <w:sz w:val="28"/>
        </w:rPr>
        <w:t>3</w:t>
      </w:r>
      <w:r w:rsidRPr="003A725A">
        <w:rPr>
          <w:b/>
          <w:sz w:val="28"/>
        </w:rPr>
        <w:t xml:space="preserve">) </w:t>
      </w:r>
      <w:r w:rsidRPr="003A725A">
        <w:rPr>
          <w:b/>
          <w:sz w:val="28"/>
        </w:rPr>
        <w:tab/>
      </w:r>
      <w:r w:rsidR="00982719" w:rsidRPr="003A725A">
        <w:rPr>
          <w:b/>
          <w:sz w:val="28"/>
          <w:u w:val="single"/>
        </w:rPr>
        <w:t>Maximum untreated sewage discharge rate (</w:t>
      </w:r>
      <w:r w:rsidR="00550677" w:rsidRPr="003A725A">
        <w:rPr>
          <w:b/>
          <w:sz w:val="28"/>
          <w:u w:val="single"/>
        </w:rPr>
        <w:t>Greater than</w:t>
      </w:r>
      <w:r w:rsidR="00982719" w:rsidRPr="003A725A">
        <w:rPr>
          <w:b/>
          <w:sz w:val="28"/>
          <w:u w:val="single"/>
        </w:rPr>
        <w:t xml:space="preserve"> 12 nautical miles)</w:t>
      </w:r>
    </w:p>
    <w:p w:rsidR="00982719" w:rsidRDefault="00982719">
      <w:r>
        <w:t xml:space="preserve">The discharge of untreated sewage is prohibited except for emergency case as per DNV CLEAN NOTATION. In this respect, in emergency cases where untreated sewage is discharged to </w:t>
      </w:r>
      <w:proofErr w:type="spellStart"/>
      <w:r>
        <w:t>sea</w:t>
      </w:r>
      <w:proofErr w:type="spellEnd"/>
      <w:r>
        <w:t xml:space="preserve"> the records shall include information on the ships speed and distance to nearest to shore at the time of sewage discharge.</w:t>
      </w:r>
    </w:p>
    <w:p w:rsidR="00982719" w:rsidRDefault="00982719">
      <w:r>
        <w:t>The maximum permissible discharge rate is 1/200,000 (or one 200,00</w:t>
      </w:r>
      <w:r w:rsidRPr="00982719">
        <w:rPr>
          <w:vertAlign w:val="superscript"/>
        </w:rPr>
        <w:t>th</w:t>
      </w:r>
      <w:r>
        <w:t xml:space="preserve"> part) of swept volume as follows:</w:t>
      </w:r>
    </w:p>
    <w:p w:rsidR="00982719" w:rsidRDefault="00982719">
      <w:r>
        <w:lastRenderedPageBreak/>
        <w:tab/>
        <w:t xml:space="preserve"> </w:t>
      </w:r>
      <w:proofErr w:type="spellStart"/>
      <w:r>
        <w:t>DR</w:t>
      </w:r>
      <w:r>
        <w:rPr>
          <w:vertAlign w:val="subscript"/>
        </w:rPr>
        <w:t>max</w:t>
      </w:r>
      <w:proofErr w:type="spellEnd"/>
      <w:r>
        <w:t xml:space="preserve"> = 0.00926 x V x D x B</w:t>
      </w:r>
    </w:p>
    <w:p w:rsidR="00982719" w:rsidRDefault="00982719">
      <w:r>
        <w:t>Where:</w:t>
      </w:r>
    </w:p>
    <w:p w:rsidR="00982719" w:rsidRDefault="00982719">
      <w:proofErr w:type="spellStart"/>
      <w:r>
        <w:t>DR</w:t>
      </w:r>
      <w:r>
        <w:rPr>
          <w:vertAlign w:val="subscript"/>
        </w:rPr>
        <w:t>max</w:t>
      </w:r>
      <w:proofErr w:type="spellEnd"/>
      <w:r>
        <w:t>: Maximum permissible discharge rate (m3/h</w:t>
      </w:r>
      <w:proofErr w:type="gramStart"/>
      <w:r>
        <w:t>)</w:t>
      </w:r>
      <w:proofErr w:type="gramEnd"/>
      <w:r>
        <w:br/>
        <w:t>V: Ship’s average speed (knots) over the period</w:t>
      </w:r>
      <w:r>
        <w:br/>
        <w:t>D: Draft (m)</w:t>
      </w:r>
      <w:r>
        <w:br/>
        <w:t>B: Breadth (m)</w:t>
      </w:r>
    </w:p>
    <w:p w:rsidR="00944682" w:rsidRDefault="00944682">
      <w:r>
        <w:t>The maximum permissible discharge rate specified above refers to the average rate as calculated over any 24 hour – period, or the period of discharge if that is less, and may be exceed by no more than 20% when measured on an hourly basis.</w:t>
      </w:r>
    </w:p>
    <w:p w:rsidR="00944682" w:rsidRDefault="00944682">
      <w:pPr>
        <w:rPr>
          <w:b/>
          <w:u w:val="single"/>
        </w:rPr>
      </w:pPr>
      <w:r>
        <w:rPr>
          <w:b/>
          <w:u w:val="single"/>
        </w:rPr>
        <w:t>Approval of rate by administration</w:t>
      </w:r>
    </w:p>
    <w:p w:rsidR="008C0E6F" w:rsidRDefault="00944682">
      <w:r>
        <w:t>The administration should approve the rate of discharge above specified above based upon the ship’s maximum summer draft and maximum service speed. Where sewage is to be discharged at a different combination of draft and speed one or more secondary discharge rates may also be approved.</w:t>
      </w:r>
    </w:p>
    <w:p w:rsidR="00FC0714" w:rsidRPr="004045A8" w:rsidRDefault="00FC0714" w:rsidP="00FC0714">
      <w:pPr>
        <w:rPr>
          <w:b/>
          <w:u w:val="single"/>
        </w:rPr>
      </w:pPr>
      <w:r w:rsidRPr="004045A8">
        <w:rPr>
          <w:b/>
          <w:u w:val="single"/>
        </w:rPr>
        <w:t>Method of calculation</w:t>
      </w:r>
    </w:p>
    <w:p w:rsidR="00FC0714" w:rsidRPr="008C0E6F" w:rsidRDefault="00FC0714" w:rsidP="00FC0714">
      <w:pPr>
        <w:pStyle w:val="ListParagraph"/>
        <w:numPr>
          <w:ilvl w:val="0"/>
          <w:numId w:val="1"/>
        </w:numPr>
        <w:rPr>
          <w:u w:val="single"/>
        </w:rPr>
      </w:pPr>
      <w:r>
        <w:t>The calculated swept volume of the ship is to be determined for drafts up to and including the summer draft.</w:t>
      </w:r>
    </w:p>
    <w:p w:rsidR="00FC0714" w:rsidRPr="008C0E6F" w:rsidRDefault="00FC0714" w:rsidP="00FC0714">
      <w:pPr>
        <w:pStyle w:val="ListParagraph"/>
        <w:numPr>
          <w:ilvl w:val="0"/>
          <w:numId w:val="1"/>
        </w:numPr>
        <w:rPr>
          <w:u w:val="single"/>
        </w:rPr>
      </w:pPr>
      <w:r>
        <w:t>Where a ship is to discharge sewage from a holding tank using a pump calibrated at a fixed rate, the pump can be either be:</w:t>
      </w:r>
      <w:r>
        <w:br/>
        <w:t>-      Calibrated at a the rate permitted at 4 knots; or</w:t>
      </w:r>
    </w:p>
    <w:p w:rsidR="00FC0714" w:rsidRPr="008C0E6F" w:rsidRDefault="00FC0714" w:rsidP="00FC0714">
      <w:pPr>
        <w:pStyle w:val="ListParagraph"/>
        <w:numPr>
          <w:ilvl w:val="0"/>
          <w:numId w:val="3"/>
        </w:numPr>
        <w:rPr>
          <w:u w:val="single"/>
        </w:rPr>
      </w:pPr>
      <w:r>
        <w:t>Calibrated for a specific minimum ship’s speed in excess of 4 knots.</w:t>
      </w:r>
    </w:p>
    <w:p w:rsidR="00FC0714" w:rsidRPr="008C0E6F" w:rsidRDefault="00FC0714" w:rsidP="00FC0714">
      <w:pPr>
        <w:pStyle w:val="ListParagraph"/>
        <w:numPr>
          <w:ilvl w:val="0"/>
          <w:numId w:val="1"/>
        </w:numPr>
        <w:rPr>
          <w:u w:val="single"/>
        </w:rPr>
      </w:pPr>
      <w:r>
        <w:t>Where the intended actual discharge rate exceeds that permissible at 4 knots the actual discharge rate may need to be reduced or the speed increased. The rate and speed is to be detailed in the approval issue by the Administration.</w:t>
      </w:r>
    </w:p>
    <w:p w:rsidR="00FC0714" w:rsidRDefault="00FC0714" w:rsidP="00FC0714">
      <w:pPr>
        <w:rPr>
          <w:b/>
          <w:u w:val="single"/>
        </w:rPr>
      </w:pPr>
      <w:r>
        <w:rPr>
          <w:b/>
          <w:u w:val="single"/>
        </w:rPr>
        <w:t>Compliance with the rate</w:t>
      </w:r>
    </w:p>
    <w:p w:rsidR="00FC0714" w:rsidRDefault="00FC0714" w:rsidP="00FC0714">
      <w:r>
        <w:tab/>
        <w:t xml:space="preserve">Before undertaking a sewage discharge in accordance with this standard, the crew member responsible for sewage operations should ensure that the ship is </w:t>
      </w:r>
      <w:proofErr w:type="spellStart"/>
      <w:r>
        <w:t>en</w:t>
      </w:r>
      <w:proofErr w:type="spellEnd"/>
      <w:r>
        <w:t xml:space="preserve"> route, is more than 12 nautical miles from the nearest land and the navigation speed is consistent with the discharge rate that has been approved by the Administration. Ships with high discharge requirements are encouraged to keep notes of calculations of the actual discharges to demonstrate compliance with the approved rate.</w:t>
      </w:r>
    </w:p>
    <w:p w:rsidR="00333FA7" w:rsidRDefault="00333FA7" w:rsidP="00333FA7">
      <w:pPr>
        <w:spacing w:line="240" w:lineRule="exact"/>
        <w:textAlignment w:val="baseline"/>
        <w:rPr>
          <w:rFonts w:ascii="Verdana" w:eastAsia="Verdana" w:hAnsi="Verdana"/>
          <w:b/>
          <w:color w:val="000000"/>
          <w:spacing w:val="13"/>
          <w:sz w:val="18"/>
        </w:rPr>
      </w:pPr>
      <w:r>
        <w:rPr>
          <w:rFonts w:ascii="Verdana" w:eastAsia="Verdana" w:hAnsi="Verdana"/>
          <w:b/>
          <w:color w:val="000000"/>
          <w:spacing w:val="13"/>
          <w:sz w:val="18"/>
        </w:rPr>
        <w:lastRenderedPageBreak/>
        <w:t xml:space="preserve">MAXIMUM RATE OF DISCHARGE OF UNTREATED SEWAGE IN ACCORDANCE WITH RESOLUTION </w:t>
      </w:r>
      <w:proofErr w:type="gramStart"/>
      <w:r>
        <w:rPr>
          <w:rFonts w:ascii="Verdana" w:eastAsia="Verdana" w:hAnsi="Verdana"/>
          <w:b/>
          <w:color w:val="000000"/>
          <w:spacing w:val="13"/>
          <w:sz w:val="18"/>
        </w:rPr>
        <w:t>MEPC.157(</w:t>
      </w:r>
      <w:proofErr w:type="gramEnd"/>
      <w:r>
        <w:rPr>
          <w:rFonts w:ascii="Verdana" w:eastAsia="Verdana" w:hAnsi="Verdana"/>
          <w:b/>
          <w:color w:val="000000"/>
          <w:spacing w:val="13"/>
          <w:sz w:val="18"/>
        </w:rPr>
        <w:t>55)</w:t>
      </w:r>
    </w:p>
    <w:p w:rsidR="00FC0714" w:rsidRDefault="00333FA7" w:rsidP="00333FA7">
      <w:pPr>
        <w:tabs>
          <w:tab w:val="left" w:pos="3330"/>
        </w:tabs>
        <w:spacing w:before="256" w:line="249" w:lineRule="exact"/>
        <w:ind w:right="9720"/>
        <w:textAlignment w:val="baseline"/>
        <w:rPr>
          <w:rFonts w:ascii="Verdana" w:eastAsia="Verdana" w:hAnsi="Verdana"/>
          <w:color w:val="000000"/>
          <w:sz w:val="18"/>
        </w:rPr>
      </w:pPr>
      <w:r>
        <w:rPr>
          <w:rFonts w:ascii="Verdana" w:eastAsia="Verdana" w:hAnsi="Verdana"/>
          <w:color w:val="000000"/>
          <w:sz w:val="18"/>
        </w:rPr>
        <w:t xml:space="preserve">SHIP </w:t>
      </w:r>
      <w:proofErr w:type="gramStart"/>
      <w:r>
        <w:rPr>
          <w:rFonts w:ascii="Verdana" w:eastAsia="Verdana" w:hAnsi="Verdana"/>
          <w:color w:val="000000"/>
          <w:sz w:val="18"/>
        </w:rPr>
        <w:t>NAME :</w:t>
      </w:r>
      <w:proofErr w:type="gramEnd"/>
      <w:r>
        <w:rPr>
          <w:rFonts w:ascii="Verdana" w:eastAsia="Verdana" w:hAnsi="Verdana"/>
          <w:color w:val="000000"/>
          <w:sz w:val="18"/>
        </w:rPr>
        <w:t xml:space="preserve"> NAVIG8 GALLANTRY </w:t>
      </w:r>
    </w:p>
    <w:p w:rsidR="00333FA7" w:rsidRDefault="00333FA7" w:rsidP="00333FA7">
      <w:pPr>
        <w:tabs>
          <w:tab w:val="left" w:pos="3330"/>
        </w:tabs>
        <w:spacing w:before="256" w:line="249" w:lineRule="exact"/>
        <w:ind w:right="9720"/>
        <w:textAlignment w:val="baseline"/>
        <w:rPr>
          <w:rFonts w:ascii="Verdana" w:eastAsia="Verdana" w:hAnsi="Verdana"/>
          <w:color w:val="000000"/>
          <w:sz w:val="18"/>
        </w:rPr>
      </w:pPr>
      <w:proofErr w:type="gramStart"/>
      <w:r>
        <w:rPr>
          <w:rFonts w:ascii="Verdana" w:eastAsia="Verdana" w:hAnsi="Verdana"/>
          <w:color w:val="000000"/>
          <w:sz w:val="18"/>
        </w:rPr>
        <w:t>IMO No.</w:t>
      </w:r>
      <w:proofErr w:type="gramEnd"/>
      <w:r>
        <w:rPr>
          <w:rFonts w:ascii="Verdana" w:eastAsia="Verdana" w:hAnsi="Verdana"/>
          <w:color w:val="000000"/>
          <w:sz w:val="18"/>
        </w:rPr>
        <w:t xml:space="preserve"> : </w:t>
      </w:r>
      <w:r w:rsidRPr="006624F8">
        <w:rPr>
          <w:rFonts w:ascii="Verdana" w:eastAsia="Verdana" w:hAnsi="Verdana"/>
          <w:color w:val="000000"/>
          <w:sz w:val="18"/>
        </w:rPr>
        <w:t>9712876</w:t>
      </w:r>
    </w:p>
    <w:p w:rsidR="00333FA7" w:rsidRDefault="00333FA7" w:rsidP="00333FA7">
      <w:pPr>
        <w:spacing w:before="33" w:line="217" w:lineRule="exact"/>
        <w:textAlignment w:val="baseline"/>
        <w:rPr>
          <w:rFonts w:ascii="Verdana" w:eastAsia="Verdana" w:hAnsi="Verdana"/>
          <w:color w:val="000000"/>
          <w:spacing w:val="-2"/>
          <w:sz w:val="18"/>
        </w:rPr>
      </w:pPr>
      <w:r>
        <w:rPr>
          <w:rFonts w:ascii="Verdana" w:eastAsia="Verdana" w:hAnsi="Verdana"/>
          <w:color w:val="000000"/>
          <w:spacing w:val="-2"/>
          <w:sz w:val="18"/>
        </w:rPr>
        <w:t>CLASS No. : -</w:t>
      </w:r>
    </w:p>
    <w:p w:rsidR="00333FA7" w:rsidRDefault="00333FA7" w:rsidP="00333FA7">
      <w:pPr>
        <w:spacing w:before="37" w:line="217" w:lineRule="exact"/>
        <w:textAlignment w:val="baseline"/>
        <w:rPr>
          <w:rFonts w:ascii="Verdana" w:eastAsia="Verdana" w:hAnsi="Verdana"/>
          <w:color w:val="000000"/>
          <w:spacing w:val="-2"/>
          <w:sz w:val="18"/>
        </w:rPr>
      </w:pPr>
      <w:proofErr w:type="gramStart"/>
      <w:r>
        <w:rPr>
          <w:rFonts w:ascii="Verdana" w:eastAsia="Verdana" w:hAnsi="Verdana"/>
          <w:color w:val="000000"/>
          <w:spacing w:val="-2"/>
          <w:sz w:val="18"/>
        </w:rPr>
        <w:t>BREADTH :</w:t>
      </w:r>
      <w:proofErr w:type="gramEnd"/>
      <w:r>
        <w:rPr>
          <w:rFonts w:ascii="Verdana" w:eastAsia="Verdana" w:hAnsi="Verdana"/>
          <w:color w:val="000000"/>
          <w:spacing w:val="-2"/>
          <w:sz w:val="18"/>
        </w:rPr>
        <w:t xml:space="preserve"> 44 M</w:t>
      </w:r>
    </w:p>
    <w:p w:rsidR="00FC0714" w:rsidRDefault="00333FA7" w:rsidP="00333FA7">
      <w:pPr>
        <w:spacing w:before="1" w:line="249" w:lineRule="exact"/>
        <w:ind w:right="9792"/>
        <w:textAlignment w:val="baseline"/>
        <w:rPr>
          <w:rFonts w:ascii="Verdana" w:eastAsia="Verdana" w:hAnsi="Verdana"/>
          <w:color w:val="000000"/>
          <w:sz w:val="18"/>
        </w:rPr>
      </w:pPr>
      <w:r>
        <w:rPr>
          <w:rFonts w:ascii="Verdana" w:eastAsia="Verdana" w:hAnsi="Verdana"/>
          <w:color w:val="000000"/>
          <w:sz w:val="18"/>
        </w:rPr>
        <w:t xml:space="preserve">MAX. SUMMER </w:t>
      </w:r>
      <w:proofErr w:type="gramStart"/>
      <w:r>
        <w:rPr>
          <w:rFonts w:ascii="Verdana" w:eastAsia="Verdana" w:hAnsi="Verdana"/>
          <w:color w:val="000000"/>
          <w:sz w:val="18"/>
        </w:rPr>
        <w:t>DRAFT :</w:t>
      </w:r>
      <w:proofErr w:type="gramEnd"/>
      <w:r>
        <w:rPr>
          <w:rFonts w:ascii="Verdana" w:eastAsia="Verdana" w:hAnsi="Verdana"/>
          <w:color w:val="000000"/>
          <w:sz w:val="18"/>
        </w:rPr>
        <w:t xml:space="preserve"> 14.7M </w:t>
      </w:r>
    </w:p>
    <w:p w:rsidR="00333FA7" w:rsidRDefault="00333FA7" w:rsidP="00333FA7">
      <w:pPr>
        <w:spacing w:before="1" w:line="249" w:lineRule="exact"/>
        <w:ind w:right="9792"/>
        <w:textAlignment w:val="baseline"/>
        <w:rPr>
          <w:rFonts w:ascii="Verdana" w:eastAsia="Verdana" w:hAnsi="Verdana"/>
          <w:color w:val="000000"/>
          <w:sz w:val="18"/>
        </w:rPr>
      </w:pPr>
      <w:r>
        <w:rPr>
          <w:rFonts w:ascii="Verdana" w:eastAsia="Verdana" w:hAnsi="Verdana"/>
          <w:color w:val="000000"/>
          <w:sz w:val="18"/>
        </w:rPr>
        <w:t xml:space="preserve">MAX, SERVICE </w:t>
      </w:r>
      <w:proofErr w:type="gramStart"/>
      <w:r>
        <w:rPr>
          <w:rFonts w:ascii="Verdana" w:eastAsia="Verdana" w:hAnsi="Verdana"/>
          <w:color w:val="000000"/>
          <w:sz w:val="18"/>
        </w:rPr>
        <w:t>SPEED :</w:t>
      </w:r>
      <w:proofErr w:type="gramEnd"/>
      <w:r>
        <w:rPr>
          <w:rFonts w:ascii="Verdana" w:eastAsia="Verdana" w:hAnsi="Verdana"/>
          <w:color w:val="000000"/>
          <w:sz w:val="18"/>
        </w:rPr>
        <w:t xml:space="preserve"> 15 KNOTS</w:t>
      </w:r>
    </w:p>
    <w:p w:rsidR="00333FA7" w:rsidRDefault="00333FA7" w:rsidP="00333FA7">
      <w:pPr>
        <w:spacing w:before="341" w:line="211" w:lineRule="exact"/>
        <w:textAlignment w:val="baseline"/>
        <w:rPr>
          <w:rFonts w:ascii="Verdana" w:eastAsia="Verdana" w:hAnsi="Verdana"/>
          <w:color w:val="000000"/>
          <w:sz w:val="18"/>
        </w:rPr>
      </w:pPr>
      <w:r>
        <w:rPr>
          <w:rFonts w:ascii="Verdana" w:eastAsia="Verdana" w:hAnsi="Verdana"/>
          <w:color w:val="000000"/>
          <w:sz w:val="18"/>
        </w:rPr>
        <w:t>The maximum permissible discharge rate refers to the average rate as calculated over any 24 hour period, or the period of discharge if that is less, and may be exceeded by no more than 20% when measured on an hourly basis.</w:t>
      </w:r>
    </w:p>
    <w:p w:rsidR="00333FA7" w:rsidRDefault="00333FA7" w:rsidP="00333FA7">
      <w:pPr>
        <w:spacing w:before="283" w:after="667" w:line="221" w:lineRule="exact"/>
        <w:textAlignment w:val="baseline"/>
        <w:rPr>
          <w:rFonts w:ascii="Verdana" w:eastAsia="Verdana" w:hAnsi="Verdana"/>
          <w:color w:val="000000"/>
          <w:sz w:val="18"/>
        </w:rPr>
      </w:pPr>
      <w:proofErr w:type="gramStart"/>
      <w:r>
        <w:rPr>
          <w:rFonts w:ascii="Verdana" w:eastAsia="Verdana" w:hAnsi="Verdana"/>
          <w:color w:val="000000"/>
          <w:sz w:val="18"/>
        </w:rPr>
        <w:t>NOTE :</w:t>
      </w:r>
      <w:proofErr w:type="gramEnd"/>
      <w:r>
        <w:rPr>
          <w:rFonts w:ascii="Verdana" w:eastAsia="Verdana" w:hAnsi="Verdana"/>
          <w:color w:val="000000"/>
          <w:sz w:val="18"/>
        </w:rPr>
        <w:t xml:space="preserve"> The permissible rate of discharge is reduced at reduced draft and/or speed. Tabular discharge rate is as follows.</w:t>
      </w:r>
    </w:p>
    <w:tbl>
      <w:tblPr>
        <w:tblW w:w="0" w:type="auto"/>
        <w:tblInd w:w="15" w:type="dxa"/>
        <w:tblLayout w:type="fixed"/>
        <w:tblCellMar>
          <w:left w:w="0" w:type="dxa"/>
          <w:right w:w="0" w:type="dxa"/>
        </w:tblCellMar>
        <w:tblLook w:val="04A0" w:firstRow="1" w:lastRow="0" w:firstColumn="1" w:lastColumn="0" w:noHBand="0" w:noVBand="1"/>
      </w:tblPr>
      <w:tblGrid>
        <w:gridCol w:w="941"/>
        <w:gridCol w:w="917"/>
        <w:gridCol w:w="940"/>
        <w:gridCol w:w="922"/>
        <w:gridCol w:w="917"/>
        <w:gridCol w:w="921"/>
        <w:gridCol w:w="922"/>
        <w:gridCol w:w="941"/>
        <w:gridCol w:w="917"/>
        <w:gridCol w:w="921"/>
        <w:gridCol w:w="922"/>
        <w:gridCol w:w="936"/>
        <w:gridCol w:w="921"/>
        <w:gridCol w:w="922"/>
      </w:tblGrid>
      <w:tr w:rsidR="00333FA7" w:rsidTr="00DD1B2F">
        <w:trPr>
          <w:trHeight w:hRule="exact" w:val="278"/>
        </w:trPr>
        <w:tc>
          <w:tcPr>
            <w:tcW w:w="12960" w:type="dxa"/>
            <w:gridSpan w:val="14"/>
            <w:tcBorders>
              <w:top w:val="double" w:sz="2" w:space="0" w:color="000000"/>
              <w:left w:val="double" w:sz="4" w:space="0" w:color="000000"/>
              <w:bottom w:val="single" w:sz="2" w:space="0" w:color="000000"/>
              <w:right w:val="single" w:sz="2" w:space="0" w:color="000000"/>
            </w:tcBorders>
            <w:vAlign w:val="center"/>
          </w:tcPr>
          <w:p w:rsidR="00333FA7" w:rsidRDefault="00333FA7" w:rsidP="00DD1B2F">
            <w:pPr>
              <w:spacing w:line="265" w:lineRule="exact"/>
              <w:ind w:left="4536"/>
              <w:textAlignment w:val="baseline"/>
              <w:rPr>
                <w:rFonts w:ascii="Arial" w:eastAsia="Arial" w:hAnsi="Arial"/>
                <w:color w:val="000000"/>
              </w:rPr>
            </w:pPr>
            <w:r>
              <w:rPr>
                <w:rFonts w:ascii="Arial" w:eastAsia="Arial" w:hAnsi="Arial"/>
                <w:color w:val="000000"/>
              </w:rPr>
              <w:t>TABULAR DISCHARGE RATE(</w:t>
            </w:r>
            <w:r>
              <w:rPr>
                <w:rFonts w:ascii="GulimChe" w:eastAsia="GulimChe" w:hAnsi="GulimChe"/>
                <w:color w:val="000000"/>
                <w:sz w:val="28"/>
              </w:rPr>
              <w:t>㎥</w:t>
            </w:r>
            <w:r>
              <w:rPr>
                <w:rFonts w:ascii="Arial" w:eastAsia="Arial" w:hAnsi="Arial"/>
                <w:color w:val="000000"/>
              </w:rPr>
              <w:t>/h)</w:t>
            </w:r>
          </w:p>
        </w:tc>
      </w:tr>
      <w:tr w:rsidR="00333FA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vAlign w:val="center"/>
          </w:tcPr>
          <w:p w:rsidR="00333FA7" w:rsidRDefault="00333FA7" w:rsidP="00DD1B2F">
            <w:pPr>
              <w:spacing w:line="264" w:lineRule="exact"/>
              <w:ind w:right="255"/>
              <w:jc w:val="center"/>
              <w:textAlignment w:val="baseline"/>
              <w:rPr>
                <w:rFonts w:ascii="Arial" w:eastAsia="Arial" w:hAnsi="Arial"/>
                <w:color w:val="000000"/>
              </w:rPr>
            </w:pPr>
            <w:r>
              <w:rPr>
                <w:rFonts w:ascii="Arial" w:eastAsia="Arial" w:hAnsi="Arial"/>
                <w:color w:val="000000"/>
              </w:rPr>
              <w:t>Speed</w:t>
            </w:r>
          </w:p>
        </w:tc>
        <w:tc>
          <w:tcPr>
            <w:tcW w:w="917"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14" w:after="150" w:line="274" w:lineRule="exact"/>
              <w:ind w:right="233"/>
              <w:jc w:val="center"/>
              <w:textAlignment w:val="baseline"/>
              <w:rPr>
                <w:rFonts w:ascii="Arial" w:eastAsia="Arial" w:hAnsi="Arial"/>
                <w:color w:val="000000"/>
              </w:rPr>
            </w:pPr>
            <w:r>
              <w:rPr>
                <w:rFonts w:ascii="Arial" w:eastAsia="Arial" w:hAnsi="Arial"/>
                <w:color w:val="000000"/>
              </w:rPr>
              <w:t>4</w:t>
            </w:r>
          </w:p>
        </w:tc>
        <w:tc>
          <w:tcPr>
            <w:tcW w:w="940"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14" w:after="150" w:line="274" w:lineRule="exact"/>
              <w:ind w:right="252"/>
              <w:jc w:val="center"/>
              <w:textAlignment w:val="baseline"/>
              <w:rPr>
                <w:rFonts w:ascii="Arial" w:eastAsia="Arial" w:hAnsi="Arial"/>
                <w:color w:val="000000"/>
              </w:rPr>
            </w:pPr>
            <w:r>
              <w:rPr>
                <w:rFonts w:ascii="Arial" w:eastAsia="Arial" w:hAnsi="Arial"/>
                <w:color w:val="000000"/>
              </w:rPr>
              <w:t>5</w:t>
            </w:r>
          </w:p>
        </w:tc>
        <w:tc>
          <w:tcPr>
            <w:tcW w:w="922"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14" w:after="150" w:line="274" w:lineRule="exact"/>
              <w:ind w:right="257"/>
              <w:jc w:val="center"/>
              <w:textAlignment w:val="baseline"/>
              <w:rPr>
                <w:rFonts w:ascii="Arial" w:eastAsia="Arial" w:hAnsi="Arial"/>
                <w:color w:val="000000"/>
              </w:rPr>
            </w:pPr>
            <w:r>
              <w:rPr>
                <w:rFonts w:ascii="Arial" w:eastAsia="Arial" w:hAnsi="Arial"/>
                <w:color w:val="000000"/>
              </w:rPr>
              <w:t>6</w:t>
            </w:r>
          </w:p>
        </w:tc>
        <w:tc>
          <w:tcPr>
            <w:tcW w:w="917"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14" w:after="150" w:line="274" w:lineRule="exact"/>
              <w:ind w:right="252"/>
              <w:jc w:val="center"/>
              <w:textAlignment w:val="baseline"/>
              <w:rPr>
                <w:rFonts w:ascii="Arial" w:eastAsia="Arial" w:hAnsi="Arial"/>
                <w:color w:val="000000"/>
              </w:rPr>
            </w:pPr>
            <w:r>
              <w:rPr>
                <w:rFonts w:ascii="Arial" w:eastAsia="Arial" w:hAnsi="Arial"/>
                <w:color w:val="000000"/>
              </w:rPr>
              <w:t>7</w:t>
            </w:r>
          </w:p>
        </w:tc>
        <w:tc>
          <w:tcPr>
            <w:tcW w:w="921"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8</w:t>
            </w:r>
          </w:p>
        </w:tc>
        <w:tc>
          <w:tcPr>
            <w:tcW w:w="922"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35" w:after="152" w:line="251" w:lineRule="exact"/>
              <w:jc w:val="center"/>
              <w:textAlignment w:val="baseline"/>
              <w:rPr>
                <w:rFonts w:ascii="Arial" w:eastAsia="Arial" w:hAnsi="Arial"/>
                <w:color w:val="000000"/>
              </w:rPr>
            </w:pPr>
            <w:r>
              <w:rPr>
                <w:rFonts w:ascii="Arial" w:eastAsia="Arial" w:hAnsi="Arial"/>
                <w:color w:val="000000"/>
              </w:rPr>
              <w:t>9</w:t>
            </w:r>
          </w:p>
        </w:tc>
        <w:tc>
          <w:tcPr>
            <w:tcW w:w="941"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10</w:t>
            </w:r>
          </w:p>
        </w:tc>
        <w:tc>
          <w:tcPr>
            <w:tcW w:w="917"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11</w:t>
            </w:r>
          </w:p>
        </w:tc>
        <w:tc>
          <w:tcPr>
            <w:tcW w:w="921"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12</w:t>
            </w:r>
          </w:p>
        </w:tc>
        <w:tc>
          <w:tcPr>
            <w:tcW w:w="922"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35" w:after="152" w:line="251" w:lineRule="exact"/>
              <w:jc w:val="center"/>
              <w:textAlignment w:val="baseline"/>
              <w:rPr>
                <w:rFonts w:ascii="Arial" w:eastAsia="Arial" w:hAnsi="Arial"/>
                <w:color w:val="000000"/>
              </w:rPr>
            </w:pPr>
            <w:r>
              <w:rPr>
                <w:rFonts w:ascii="Arial" w:eastAsia="Arial" w:hAnsi="Arial"/>
                <w:color w:val="000000"/>
              </w:rPr>
              <w:t>13</w:t>
            </w:r>
          </w:p>
        </w:tc>
        <w:tc>
          <w:tcPr>
            <w:tcW w:w="936"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14</w:t>
            </w:r>
          </w:p>
        </w:tc>
        <w:tc>
          <w:tcPr>
            <w:tcW w:w="921" w:type="dxa"/>
            <w:vMerge w:val="restart"/>
            <w:tcBorders>
              <w:top w:val="single" w:sz="2" w:space="0" w:color="000000"/>
              <w:left w:val="single" w:sz="2" w:space="0" w:color="000000"/>
              <w:bottom w:val="single" w:sz="0" w:space="0" w:color="000000"/>
              <w:right w:val="single" w:sz="2" w:space="0" w:color="000000"/>
            </w:tcBorders>
            <w:vAlign w:val="center"/>
          </w:tcPr>
          <w:p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15</w:t>
            </w:r>
          </w:p>
        </w:tc>
        <w:tc>
          <w:tcPr>
            <w:tcW w:w="922" w:type="dxa"/>
            <w:vMerge w:val="restart"/>
            <w:tcBorders>
              <w:top w:val="single" w:sz="2" w:space="0" w:color="000000"/>
              <w:left w:val="single" w:sz="2" w:space="0" w:color="000000"/>
              <w:bottom w:val="single" w:sz="0" w:space="0" w:color="000000"/>
              <w:right w:val="double" w:sz="4" w:space="0" w:color="000000"/>
            </w:tcBorders>
            <w:vAlign w:val="center"/>
          </w:tcPr>
          <w:p w:rsidR="00333FA7" w:rsidRDefault="00333FA7" w:rsidP="00DD1B2F">
            <w:pPr>
              <w:spacing w:before="114" w:after="150" w:line="274" w:lineRule="exact"/>
              <w:jc w:val="center"/>
              <w:textAlignment w:val="baseline"/>
              <w:rPr>
                <w:rFonts w:ascii="Arial" w:eastAsia="Arial" w:hAnsi="Arial"/>
                <w:color w:val="000000"/>
              </w:rPr>
            </w:pPr>
          </w:p>
        </w:tc>
      </w:tr>
      <w:tr w:rsidR="00333FA7" w:rsidTr="00DD1B2F">
        <w:trPr>
          <w:trHeight w:hRule="exact" w:val="278"/>
        </w:trPr>
        <w:tc>
          <w:tcPr>
            <w:tcW w:w="941" w:type="dxa"/>
            <w:tcBorders>
              <w:top w:val="single" w:sz="2" w:space="0" w:color="000000"/>
              <w:left w:val="double" w:sz="4" w:space="0" w:color="000000"/>
              <w:bottom w:val="single" w:sz="2" w:space="0" w:color="000000"/>
              <w:right w:val="single" w:sz="2" w:space="0" w:color="000000"/>
            </w:tcBorders>
            <w:vAlign w:val="center"/>
          </w:tcPr>
          <w:p w:rsidR="00333FA7" w:rsidRDefault="00333FA7" w:rsidP="00DD1B2F">
            <w:pPr>
              <w:spacing w:line="264" w:lineRule="exact"/>
              <w:ind w:right="324"/>
              <w:jc w:val="center"/>
              <w:textAlignment w:val="baseline"/>
              <w:rPr>
                <w:rFonts w:ascii="Arial" w:eastAsia="Arial" w:hAnsi="Arial"/>
                <w:color w:val="000000"/>
              </w:rPr>
            </w:pPr>
            <w:r>
              <w:rPr>
                <w:rFonts w:ascii="Arial" w:eastAsia="Arial" w:hAnsi="Arial"/>
                <w:color w:val="000000"/>
              </w:rPr>
              <w:t>Draft</w:t>
            </w:r>
          </w:p>
        </w:tc>
        <w:tc>
          <w:tcPr>
            <w:tcW w:w="917"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40"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22"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17"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21"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22"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41"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17"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21"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22"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36"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21" w:type="dxa"/>
            <w:vMerge/>
            <w:tcBorders>
              <w:top w:val="single" w:sz="0" w:space="0" w:color="000000"/>
              <w:left w:val="single" w:sz="2" w:space="0" w:color="000000"/>
              <w:bottom w:val="single" w:sz="2" w:space="0" w:color="000000"/>
              <w:right w:val="single" w:sz="2" w:space="0" w:color="000000"/>
            </w:tcBorders>
            <w:vAlign w:val="center"/>
          </w:tcPr>
          <w:p w:rsidR="00333FA7" w:rsidRDefault="00333FA7" w:rsidP="00DD1B2F">
            <w:pPr>
              <w:jc w:val="center"/>
            </w:pPr>
          </w:p>
        </w:tc>
        <w:tc>
          <w:tcPr>
            <w:tcW w:w="922" w:type="dxa"/>
            <w:vMerge/>
            <w:tcBorders>
              <w:top w:val="single" w:sz="0" w:space="0" w:color="000000"/>
              <w:left w:val="single" w:sz="2" w:space="0" w:color="000000"/>
              <w:bottom w:val="single" w:sz="2" w:space="0" w:color="000000"/>
              <w:right w:val="double" w:sz="4" w:space="0" w:color="000000"/>
            </w:tcBorders>
            <w:vAlign w:val="center"/>
          </w:tcPr>
          <w:p w:rsidR="00333FA7" w:rsidRDefault="00333FA7" w:rsidP="00DD1B2F">
            <w:pPr>
              <w:jc w:val="center"/>
            </w:pPr>
          </w:p>
        </w:tc>
      </w:tr>
      <w:tr w:rsidR="00333FA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tcPr>
          <w:p w:rsidR="00333FA7" w:rsidRPr="0035201E" w:rsidRDefault="00333FA7" w:rsidP="00DD1B2F">
            <w:pPr>
              <w:jc w:val="center"/>
            </w:pPr>
            <w:r w:rsidRPr="0035201E">
              <w:t>7</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11.41</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14.26</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17.11</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19.96</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22.82</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25.67</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28.52</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31.37</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34.22</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37.08</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39.93</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42.78</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rsidR="00333FA7" w:rsidRDefault="00333FA7" w:rsidP="00DD1B2F">
            <w:pPr>
              <w:tabs>
                <w:tab w:val="decimal" w:pos="432"/>
              </w:tabs>
              <w:spacing w:line="260" w:lineRule="exact"/>
              <w:jc w:val="center"/>
              <w:textAlignment w:val="baseline"/>
              <w:rPr>
                <w:rFonts w:ascii="Arial" w:eastAsia="Arial" w:hAnsi="Arial"/>
                <w:color w:val="000000"/>
              </w:rPr>
            </w:pPr>
          </w:p>
        </w:tc>
      </w:tr>
      <w:tr w:rsidR="00333FA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tcPr>
          <w:p w:rsidR="00333FA7" w:rsidRPr="0035201E" w:rsidRDefault="00333FA7" w:rsidP="00DD1B2F">
            <w:pPr>
              <w:jc w:val="center"/>
            </w:pPr>
            <w:r w:rsidRPr="0035201E">
              <w:t>8</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13.04</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16.30</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19.56</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22.82</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26.08</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29.34</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32.60</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35.85</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39.11</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42.37</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45.63</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48.89</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rsidR="00333FA7" w:rsidRDefault="00333FA7" w:rsidP="00DD1B2F">
            <w:pPr>
              <w:tabs>
                <w:tab w:val="decimal" w:pos="432"/>
              </w:tabs>
              <w:spacing w:after="6" w:line="268" w:lineRule="exact"/>
              <w:jc w:val="center"/>
              <w:textAlignment w:val="baseline"/>
              <w:rPr>
                <w:rFonts w:ascii="Arial" w:eastAsia="Arial" w:hAnsi="Arial"/>
                <w:color w:val="000000"/>
              </w:rPr>
            </w:pPr>
          </w:p>
        </w:tc>
      </w:tr>
      <w:tr w:rsidR="00333FA7" w:rsidTr="00DD1B2F">
        <w:trPr>
          <w:trHeight w:hRule="exact" w:val="273"/>
        </w:trPr>
        <w:tc>
          <w:tcPr>
            <w:tcW w:w="941" w:type="dxa"/>
            <w:tcBorders>
              <w:top w:val="single" w:sz="2" w:space="0" w:color="000000"/>
              <w:left w:val="double" w:sz="4" w:space="0" w:color="000000"/>
              <w:bottom w:val="single" w:sz="2" w:space="0" w:color="000000"/>
              <w:right w:val="single" w:sz="2" w:space="0" w:color="000000"/>
            </w:tcBorders>
          </w:tcPr>
          <w:p w:rsidR="00333FA7" w:rsidRPr="0035201E" w:rsidRDefault="00333FA7" w:rsidP="00DD1B2F">
            <w:pPr>
              <w:jc w:val="center"/>
            </w:pPr>
            <w:r w:rsidRPr="0035201E">
              <w:t>9</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14.67</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18.33</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22.00</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25.67</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29.34</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33.00</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36.67</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40.34</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44.00</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47.67</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51.34</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55.00</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rsidR="00333FA7" w:rsidRDefault="00333FA7" w:rsidP="00DD1B2F">
            <w:pPr>
              <w:tabs>
                <w:tab w:val="decimal" w:pos="432"/>
              </w:tabs>
              <w:spacing w:line="259" w:lineRule="exact"/>
              <w:jc w:val="center"/>
              <w:textAlignment w:val="baseline"/>
              <w:rPr>
                <w:rFonts w:ascii="Arial" w:eastAsia="Arial" w:hAnsi="Arial"/>
                <w:color w:val="000000"/>
              </w:rPr>
            </w:pPr>
          </w:p>
        </w:tc>
      </w:tr>
      <w:tr w:rsidR="00333FA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tcPr>
          <w:p w:rsidR="00333FA7" w:rsidRPr="0035201E" w:rsidRDefault="00333FA7" w:rsidP="00DD1B2F">
            <w:pPr>
              <w:jc w:val="center"/>
            </w:pPr>
            <w:r w:rsidRPr="0035201E">
              <w:t>10</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16.30</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20.37</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24.45</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28.52</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32.60</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36.67</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40.74</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44.82</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48.89</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52.97</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57.04</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61.12</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rsidR="00333FA7" w:rsidRDefault="00333FA7" w:rsidP="00DD1B2F">
            <w:pPr>
              <w:tabs>
                <w:tab w:val="decimal" w:pos="432"/>
              </w:tabs>
              <w:spacing w:line="259" w:lineRule="exact"/>
              <w:jc w:val="center"/>
              <w:textAlignment w:val="baseline"/>
              <w:rPr>
                <w:rFonts w:ascii="Arial" w:eastAsia="Arial" w:hAnsi="Arial"/>
                <w:color w:val="000000"/>
              </w:rPr>
            </w:pPr>
          </w:p>
        </w:tc>
      </w:tr>
      <w:tr w:rsidR="00333FA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tcPr>
          <w:p w:rsidR="00333FA7" w:rsidRPr="0035201E" w:rsidRDefault="00333FA7" w:rsidP="00DD1B2F">
            <w:pPr>
              <w:jc w:val="center"/>
            </w:pPr>
            <w:r w:rsidRPr="0035201E">
              <w:t>11</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17.93</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22.41</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26.89</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31.37</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35.85</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40.34</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44.82</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49.30</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53.78</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58.26</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62.75</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67.23</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rsidR="00333FA7" w:rsidRDefault="00333FA7" w:rsidP="00DD1B2F">
            <w:pPr>
              <w:tabs>
                <w:tab w:val="decimal" w:pos="432"/>
              </w:tabs>
              <w:spacing w:line="259" w:lineRule="exact"/>
              <w:jc w:val="center"/>
              <w:textAlignment w:val="baseline"/>
              <w:rPr>
                <w:rFonts w:ascii="Arial" w:eastAsia="Arial" w:hAnsi="Arial"/>
                <w:color w:val="000000"/>
              </w:rPr>
            </w:pPr>
          </w:p>
        </w:tc>
      </w:tr>
      <w:tr w:rsidR="00333FA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tcPr>
          <w:p w:rsidR="00333FA7" w:rsidRPr="0035201E" w:rsidRDefault="00333FA7" w:rsidP="00DD1B2F">
            <w:pPr>
              <w:jc w:val="center"/>
            </w:pPr>
            <w:r w:rsidRPr="0035201E">
              <w:t>12</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19.56</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24.45</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29.34</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34.22</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39.11</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44.00</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48.89</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53.78</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58.67</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63.56</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68.45</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73.34</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rsidR="00333FA7" w:rsidRDefault="00333FA7" w:rsidP="00DD1B2F">
            <w:pPr>
              <w:tabs>
                <w:tab w:val="decimal" w:pos="432"/>
              </w:tabs>
              <w:spacing w:line="259" w:lineRule="exact"/>
              <w:jc w:val="center"/>
              <w:textAlignment w:val="baseline"/>
              <w:rPr>
                <w:rFonts w:ascii="Arial" w:eastAsia="Arial" w:hAnsi="Arial"/>
                <w:color w:val="000000"/>
              </w:rPr>
            </w:pPr>
          </w:p>
        </w:tc>
      </w:tr>
      <w:tr w:rsidR="00333FA7" w:rsidTr="00DD1B2F">
        <w:trPr>
          <w:trHeight w:hRule="exact" w:val="273"/>
        </w:trPr>
        <w:tc>
          <w:tcPr>
            <w:tcW w:w="941" w:type="dxa"/>
            <w:tcBorders>
              <w:top w:val="single" w:sz="2" w:space="0" w:color="000000"/>
              <w:left w:val="double" w:sz="4" w:space="0" w:color="000000"/>
              <w:bottom w:val="single" w:sz="2" w:space="0" w:color="000000"/>
              <w:right w:val="single" w:sz="2" w:space="0" w:color="000000"/>
            </w:tcBorders>
          </w:tcPr>
          <w:p w:rsidR="00333FA7" w:rsidRPr="0035201E" w:rsidRDefault="00333FA7" w:rsidP="00DD1B2F">
            <w:pPr>
              <w:jc w:val="center"/>
            </w:pPr>
            <w:r w:rsidRPr="0035201E">
              <w:t>13</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21.19</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26.48</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31.78</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37.08</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42.37</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47.67</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52.97</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58.26</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63.56</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68.86</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74.15</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79.45</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rsidR="00333FA7" w:rsidRDefault="00333FA7" w:rsidP="00DD1B2F">
            <w:pPr>
              <w:tabs>
                <w:tab w:val="decimal" w:pos="432"/>
              </w:tabs>
              <w:spacing w:line="259" w:lineRule="exact"/>
              <w:jc w:val="center"/>
              <w:textAlignment w:val="baseline"/>
              <w:rPr>
                <w:rFonts w:ascii="Arial" w:eastAsia="Arial" w:hAnsi="Arial"/>
                <w:color w:val="000000"/>
              </w:rPr>
            </w:pPr>
          </w:p>
        </w:tc>
      </w:tr>
      <w:tr w:rsidR="00333FA7" w:rsidTr="00DD1B2F">
        <w:trPr>
          <w:trHeight w:hRule="exact" w:val="284"/>
        </w:trPr>
        <w:tc>
          <w:tcPr>
            <w:tcW w:w="941" w:type="dxa"/>
            <w:tcBorders>
              <w:top w:val="single" w:sz="2" w:space="0" w:color="000000"/>
              <w:left w:val="double" w:sz="4" w:space="0" w:color="000000"/>
              <w:bottom w:val="single" w:sz="2" w:space="0" w:color="000000"/>
              <w:right w:val="single" w:sz="2" w:space="0" w:color="000000"/>
            </w:tcBorders>
          </w:tcPr>
          <w:p w:rsidR="00333FA7" w:rsidRPr="0035201E" w:rsidRDefault="00333FA7" w:rsidP="00DD1B2F">
            <w:pPr>
              <w:jc w:val="center"/>
            </w:pPr>
            <w:r w:rsidRPr="0035201E">
              <w:t>14</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22.82</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28.52</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34.22</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39.93</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45.63</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51.34</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57.04</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62.75</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68.45</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74.15</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79.86</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85.56</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rsidR="00333FA7" w:rsidRDefault="00333FA7" w:rsidP="00DD1B2F">
            <w:pPr>
              <w:tabs>
                <w:tab w:val="decimal" w:pos="432"/>
              </w:tabs>
              <w:spacing w:after="1" w:line="273" w:lineRule="exact"/>
              <w:jc w:val="center"/>
              <w:textAlignment w:val="baseline"/>
              <w:rPr>
                <w:rFonts w:ascii="Arial" w:eastAsia="Arial" w:hAnsi="Arial"/>
                <w:color w:val="000000"/>
              </w:rPr>
            </w:pPr>
          </w:p>
        </w:tc>
      </w:tr>
      <w:tr w:rsidR="00333FA7" w:rsidTr="00DD1B2F">
        <w:trPr>
          <w:trHeight w:hRule="exact" w:val="284"/>
        </w:trPr>
        <w:tc>
          <w:tcPr>
            <w:tcW w:w="941" w:type="dxa"/>
            <w:tcBorders>
              <w:top w:val="single" w:sz="2" w:space="0" w:color="000000"/>
              <w:left w:val="double" w:sz="4" w:space="0" w:color="000000"/>
              <w:bottom w:val="single" w:sz="2" w:space="0" w:color="000000"/>
              <w:right w:val="single" w:sz="2" w:space="0" w:color="000000"/>
            </w:tcBorders>
          </w:tcPr>
          <w:p w:rsidR="00333FA7" w:rsidRPr="0035201E" w:rsidRDefault="00333FA7" w:rsidP="00DD1B2F">
            <w:pPr>
              <w:jc w:val="center"/>
            </w:pPr>
            <w:r w:rsidRPr="0035201E">
              <w:t>15</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24.45</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30.56</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36.67</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42.78</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48.89</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55.00</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61.12</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67.23</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73.34</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79.45</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rsidR="00333FA7" w:rsidRPr="00331D0A" w:rsidRDefault="00333FA7" w:rsidP="00DD1B2F">
            <w:pPr>
              <w:jc w:val="center"/>
            </w:pPr>
            <w:r w:rsidRPr="00331D0A">
              <w:t>85.56</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rsidR="00333FA7" w:rsidRDefault="00333FA7" w:rsidP="00DD1B2F">
            <w:pPr>
              <w:jc w:val="center"/>
            </w:pPr>
            <w:r w:rsidRPr="00331D0A">
              <w:t>91.67</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rsidR="00333FA7" w:rsidRDefault="00333FA7" w:rsidP="00DD1B2F">
            <w:pPr>
              <w:tabs>
                <w:tab w:val="decimal" w:pos="432"/>
              </w:tabs>
              <w:spacing w:after="1" w:line="273" w:lineRule="exact"/>
              <w:jc w:val="center"/>
              <w:textAlignment w:val="baseline"/>
              <w:rPr>
                <w:rFonts w:ascii="Arial" w:eastAsia="Arial" w:hAnsi="Arial"/>
                <w:color w:val="000000"/>
              </w:rPr>
            </w:pPr>
          </w:p>
        </w:tc>
      </w:tr>
    </w:tbl>
    <w:p w:rsidR="003A725A" w:rsidRDefault="003A725A" w:rsidP="003A725A">
      <w:pPr>
        <w:pStyle w:val="ListParagraph"/>
        <w:ind w:left="0"/>
        <w:rPr>
          <w:b/>
          <w:sz w:val="28"/>
        </w:rPr>
      </w:pPr>
    </w:p>
    <w:p w:rsidR="003A725A" w:rsidRDefault="003A725A" w:rsidP="003A725A">
      <w:pPr>
        <w:pStyle w:val="ListParagraph"/>
        <w:ind w:left="0"/>
        <w:rPr>
          <w:b/>
          <w:sz w:val="28"/>
        </w:rPr>
      </w:pPr>
    </w:p>
    <w:p w:rsidR="00550677" w:rsidRDefault="003A725A" w:rsidP="003A725A">
      <w:pPr>
        <w:pStyle w:val="ListParagraph"/>
        <w:ind w:left="0"/>
        <w:rPr>
          <w:b/>
          <w:u w:val="single"/>
        </w:rPr>
      </w:pPr>
      <w:r w:rsidRPr="003A725A">
        <w:rPr>
          <w:b/>
          <w:sz w:val="28"/>
        </w:rPr>
        <w:lastRenderedPageBreak/>
        <w:t xml:space="preserve">Section </w:t>
      </w:r>
      <w:r>
        <w:rPr>
          <w:b/>
          <w:sz w:val="28"/>
        </w:rPr>
        <w:t>4</w:t>
      </w:r>
      <w:r w:rsidRPr="003A725A">
        <w:rPr>
          <w:b/>
          <w:sz w:val="28"/>
        </w:rPr>
        <w:t xml:space="preserve">) </w:t>
      </w:r>
      <w:r w:rsidRPr="003A725A">
        <w:rPr>
          <w:b/>
          <w:sz w:val="28"/>
        </w:rPr>
        <w:tab/>
      </w:r>
      <w:r w:rsidR="00550677" w:rsidRPr="003A725A">
        <w:rPr>
          <w:b/>
          <w:sz w:val="28"/>
          <w:u w:val="single"/>
        </w:rPr>
        <w:t>SEWAGE TREATMENT PIPING DIAGRAM</w:t>
      </w:r>
    </w:p>
    <w:p w:rsidR="008C0E6F" w:rsidRDefault="00812461" w:rsidP="00FC0714">
      <w:pPr>
        <w:pStyle w:val="ListParagraph"/>
        <w:ind w:left="0"/>
        <w:jc w:val="center"/>
        <w:rPr>
          <w:u w:val="single"/>
        </w:rPr>
      </w:pPr>
      <w:r>
        <w:rPr>
          <w:noProof/>
          <w:lang w:val="en-US"/>
        </w:rPr>
        <w:drawing>
          <wp:inline distT="0" distB="0" distL="0" distR="0" wp14:anchorId="32647929" wp14:editId="5388F2D5">
            <wp:extent cx="8324850" cy="5514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322552" cy="5513453"/>
                    </a:xfrm>
                    <a:prstGeom prst="rect">
                      <a:avLst/>
                    </a:prstGeom>
                  </pic:spPr>
                </pic:pic>
              </a:graphicData>
            </a:graphic>
          </wp:inline>
        </w:drawing>
      </w:r>
    </w:p>
    <w:p w:rsidR="003A725A" w:rsidRDefault="003A725A" w:rsidP="003A725A">
      <w:pPr>
        <w:pStyle w:val="ListParagraph"/>
        <w:ind w:left="0"/>
        <w:rPr>
          <w:b/>
          <w:sz w:val="28"/>
        </w:rPr>
      </w:pPr>
      <w:r w:rsidRPr="003A725A">
        <w:rPr>
          <w:b/>
          <w:sz w:val="28"/>
        </w:rPr>
        <w:lastRenderedPageBreak/>
        <w:t xml:space="preserve">Section </w:t>
      </w:r>
      <w:r>
        <w:rPr>
          <w:b/>
          <w:sz w:val="28"/>
        </w:rPr>
        <w:t>5</w:t>
      </w:r>
      <w:r w:rsidRPr="003A725A">
        <w:rPr>
          <w:b/>
          <w:sz w:val="28"/>
        </w:rPr>
        <w:t xml:space="preserve">) </w:t>
      </w:r>
      <w:r w:rsidRPr="003A725A">
        <w:rPr>
          <w:b/>
          <w:sz w:val="28"/>
        </w:rPr>
        <w:tab/>
      </w:r>
      <w:r w:rsidRPr="00080BA6">
        <w:rPr>
          <w:b/>
          <w:sz w:val="28"/>
          <w:u w:val="single"/>
        </w:rPr>
        <w:t>Sewage Discharge Record Sheet</w:t>
      </w:r>
    </w:p>
    <w:p w:rsidR="00080BA6" w:rsidRDefault="00080BA6" w:rsidP="003A725A">
      <w:pPr>
        <w:pStyle w:val="ListParagraph"/>
        <w:ind w:left="0"/>
      </w:pPr>
      <w:r>
        <w:t>Records of discharge are to be maintained in the format below</w:t>
      </w:r>
    </w:p>
    <w:p w:rsidR="00550677" w:rsidRPr="00FC0714" w:rsidRDefault="003A725A" w:rsidP="003A725A">
      <w:pPr>
        <w:pStyle w:val="ListParagraph"/>
        <w:ind w:left="0"/>
        <w:jc w:val="center"/>
      </w:pPr>
      <w:bookmarkStart w:id="0" w:name="_GoBack"/>
      <w:r>
        <w:rPr>
          <w:noProof/>
          <w:lang w:val="en-US"/>
        </w:rPr>
        <w:drawing>
          <wp:inline distT="0" distB="0" distL="0" distR="0" wp14:anchorId="13F13794" wp14:editId="74FE87B5">
            <wp:extent cx="8667750" cy="533214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667750" cy="5332148"/>
                    </a:xfrm>
                    <a:prstGeom prst="rect">
                      <a:avLst/>
                    </a:prstGeom>
                  </pic:spPr>
                </pic:pic>
              </a:graphicData>
            </a:graphic>
          </wp:inline>
        </w:drawing>
      </w:r>
      <w:bookmarkEnd w:id="0"/>
    </w:p>
    <w:sectPr w:rsidR="00550677" w:rsidRPr="00FC0714" w:rsidSect="003A725A">
      <w:headerReference w:type="default" r:id="rId11"/>
      <w:footerReference w:type="default" r:id="rId12"/>
      <w:pgSz w:w="16838" w:h="11906" w:orient="landscape"/>
      <w:pgMar w:top="135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B1" w:rsidRDefault="00B615B1" w:rsidP="005C0078">
      <w:pPr>
        <w:spacing w:after="0" w:line="240" w:lineRule="auto"/>
      </w:pPr>
      <w:r>
        <w:separator/>
      </w:r>
    </w:p>
  </w:endnote>
  <w:endnote w:type="continuationSeparator" w:id="0">
    <w:p w:rsidR="00B615B1" w:rsidRDefault="00B615B1" w:rsidP="005C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uli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13617"/>
      <w:docPartObj>
        <w:docPartGallery w:val="Page Numbers (Bottom of Page)"/>
        <w:docPartUnique/>
      </w:docPartObj>
    </w:sdtPr>
    <w:sdtContent>
      <w:sdt>
        <w:sdtPr>
          <w:id w:val="860082579"/>
          <w:docPartObj>
            <w:docPartGallery w:val="Page Numbers (Top of Page)"/>
            <w:docPartUnique/>
          </w:docPartObj>
        </w:sdtPr>
        <w:sdtContent>
          <w:p w:rsidR="003A725A" w:rsidRDefault="003A725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80BA6">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0BA6">
              <w:rPr>
                <w:b/>
                <w:bCs/>
                <w:noProof/>
              </w:rPr>
              <w:t>8</w:t>
            </w:r>
            <w:r>
              <w:rPr>
                <w:b/>
                <w:bCs/>
                <w:sz w:val="24"/>
                <w:szCs w:val="24"/>
              </w:rPr>
              <w:fldChar w:fldCharType="end"/>
            </w:r>
          </w:p>
        </w:sdtContent>
      </w:sdt>
    </w:sdtContent>
  </w:sdt>
  <w:p w:rsidR="003A725A" w:rsidRDefault="003A7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B1" w:rsidRDefault="00B615B1" w:rsidP="005C0078">
      <w:pPr>
        <w:spacing w:after="0" w:line="240" w:lineRule="auto"/>
      </w:pPr>
      <w:r>
        <w:separator/>
      </w:r>
    </w:p>
  </w:footnote>
  <w:footnote w:type="continuationSeparator" w:id="0">
    <w:p w:rsidR="00B615B1" w:rsidRDefault="00B615B1" w:rsidP="005C0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78" w:rsidRDefault="005C0078">
    <w:pPr>
      <w:pStyle w:val="Header"/>
    </w:pPr>
    <w:r>
      <w:tab/>
    </w:r>
    <w:r>
      <w:tab/>
    </w:r>
    <w:r w:rsidR="00333FA7">
      <w:tab/>
    </w:r>
    <w:r w:rsidR="00333FA7">
      <w:tab/>
    </w:r>
    <w:r w:rsidR="00333FA7">
      <w:tab/>
    </w:r>
    <w:r w:rsidR="00333FA7">
      <w:tab/>
      <w:t xml:space="preserve">     </w:t>
    </w:r>
    <w:r>
      <w:rPr>
        <w:rFonts w:ascii="Arial" w:hAnsi="Arial" w:cs="Arial"/>
        <w:b/>
        <w:noProof/>
        <w:sz w:val="16"/>
        <w:lang w:val="en-US"/>
      </w:rPr>
      <w:drawing>
        <wp:inline distT="0" distB="0" distL="0" distR="0" wp14:anchorId="1329D6C2" wp14:editId="4720872D">
          <wp:extent cx="904997" cy="388188"/>
          <wp:effectExtent l="0" t="0" r="0" b="0"/>
          <wp:docPr id="1" name="Picture 1" descr="cid:image005.png@01CE10FC.6D21A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CE10FC.6D21AE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8840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E30"/>
    <w:multiLevelType w:val="hybridMultilevel"/>
    <w:tmpl w:val="EDB85BF6"/>
    <w:lvl w:ilvl="0" w:tplc="20BE8970">
      <w:numFmt w:val="bullet"/>
      <w:lvlText w:val="-"/>
      <w:lvlJc w:val="left"/>
      <w:pPr>
        <w:ind w:left="1080" w:hanging="360"/>
      </w:pPr>
      <w:rPr>
        <w:rFonts w:ascii="Calibri" w:eastAsiaTheme="minorHAnsi" w:hAnsi="Calibri" w:cstheme="minorBid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nsid w:val="211C67DF"/>
    <w:multiLevelType w:val="hybridMultilevel"/>
    <w:tmpl w:val="286AB208"/>
    <w:lvl w:ilvl="0" w:tplc="48090011">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
    <w:nsid w:val="2C6C7048"/>
    <w:multiLevelType w:val="hybridMultilevel"/>
    <w:tmpl w:val="9A6CBF86"/>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309F0339"/>
    <w:multiLevelType w:val="hybridMultilevel"/>
    <w:tmpl w:val="A27C1388"/>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19"/>
    <w:rsid w:val="00031883"/>
    <w:rsid w:val="00080BA6"/>
    <w:rsid w:val="001479B8"/>
    <w:rsid w:val="00227EB7"/>
    <w:rsid w:val="00333FA7"/>
    <w:rsid w:val="003A725A"/>
    <w:rsid w:val="004045A8"/>
    <w:rsid w:val="00526167"/>
    <w:rsid w:val="00550677"/>
    <w:rsid w:val="00583C8C"/>
    <w:rsid w:val="005C0078"/>
    <w:rsid w:val="00812461"/>
    <w:rsid w:val="008C0E6F"/>
    <w:rsid w:val="00944682"/>
    <w:rsid w:val="00982719"/>
    <w:rsid w:val="00B615B1"/>
    <w:rsid w:val="00B65956"/>
    <w:rsid w:val="00C00190"/>
    <w:rsid w:val="00E21EAC"/>
    <w:rsid w:val="00F363DB"/>
    <w:rsid w:val="00FC071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E6F"/>
    <w:pPr>
      <w:ind w:left="720"/>
      <w:contextualSpacing/>
    </w:pPr>
  </w:style>
  <w:style w:type="paragraph" w:styleId="Header">
    <w:name w:val="header"/>
    <w:basedOn w:val="Normal"/>
    <w:link w:val="HeaderChar"/>
    <w:uiPriority w:val="99"/>
    <w:unhideWhenUsed/>
    <w:rsid w:val="005C0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078"/>
  </w:style>
  <w:style w:type="paragraph" w:styleId="Footer">
    <w:name w:val="footer"/>
    <w:basedOn w:val="Normal"/>
    <w:link w:val="FooterChar"/>
    <w:uiPriority w:val="99"/>
    <w:unhideWhenUsed/>
    <w:rsid w:val="005C0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078"/>
  </w:style>
  <w:style w:type="paragraph" w:styleId="BalloonText">
    <w:name w:val="Balloon Text"/>
    <w:basedOn w:val="Normal"/>
    <w:link w:val="BalloonTextChar"/>
    <w:uiPriority w:val="99"/>
    <w:semiHidden/>
    <w:unhideWhenUsed/>
    <w:rsid w:val="005C0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0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E6F"/>
    <w:pPr>
      <w:ind w:left="720"/>
      <w:contextualSpacing/>
    </w:pPr>
  </w:style>
  <w:style w:type="paragraph" w:styleId="Header">
    <w:name w:val="header"/>
    <w:basedOn w:val="Normal"/>
    <w:link w:val="HeaderChar"/>
    <w:uiPriority w:val="99"/>
    <w:unhideWhenUsed/>
    <w:rsid w:val="005C0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078"/>
  </w:style>
  <w:style w:type="paragraph" w:styleId="Footer">
    <w:name w:val="footer"/>
    <w:basedOn w:val="Normal"/>
    <w:link w:val="FooterChar"/>
    <w:uiPriority w:val="99"/>
    <w:unhideWhenUsed/>
    <w:rsid w:val="005C0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078"/>
  </w:style>
  <w:style w:type="paragraph" w:styleId="BalloonText">
    <w:name w:val="Balloon Text"/>
    <w:basedOn w:val="Normal"/>
    <w:link w:val="BalloonTextChar"/>
    <w:uiPriority w:val="99"/>
    <w:semiHidden/>
    <w:unhideWhenUsed/>
    <w:rsid w:val="005C0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3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75002-1457-4AC9-9096-91B0979F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8</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Navig8 Asia Pte Ltd</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Teo Yu Ru</dc:creator>
  <cp:lastModifiedBy>Ashwin Nair</cp:lastModifiedBy>
  <cp:revision>4</cp:revision>
  <dcterms:created xsi:type="dcterms:W3CDTF">2016-06-15T06:03:00Z</dcterms:created>
  <dcterms:modified xsi:type="dcterms:W3CDTF">2016-06-15T10:58:00Z</dcterms:modified>
</cp:coreProperties>
</file>